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262" w:rsidRPr="00DF6D77" w:rsidRDefault="00A64262" w:rsidP="00A64262">
      <w:pPr>
        <w:spacing w:line="600" w:lineRule="exact"/>
        <w:rPr>
          <w:rFonts w:ascii="方正黑体_GBK" w:eastAsia="方正黑体_GBK" w:hAnsi="Times New Roman" w:cs="方正仿宋_GBK" w:hint="eastAsia"/>
          <w:color w:val="212121"/>
          <w:kern w:val="0"/>
          <w:sz w:val="32"/>
          <w:szCs w:val="32"/>
        </w:rPr>
      </w:pPr>
      <w:r w:rsidRPr="00DF6D77">
        <w:rPr>
          <w:rFonts w:ascii="方正黑体_GBK" w:eastAsia="方正黑体_GBK" w:hAnsi="Times New Roman" w:cs="方正仿宋_GBK" w:hint="eastAsia"/>
          <w:color w:val="212121"/>
          <w:kern w:val="0"/>
          <w:sz w:val="32"/>
          <w:szCs w:val="32"/>
        </w:rPr>
        <w:t>附件1</w:t>
      </w:r>
    </w:p>
    <w:p w:rsidR="00A64262" w:rsidRPr="00DF6D77" w:rsidRDefault="00A64262" w:rsidP="00A64262">
      <w:pPr>
        <w:spacing w:line="600" w:lineRule="exact"/>
        <w:ind w:firstLineChars="350" w:firstLine="1540"/>
        <w:rPr>
          <w:rFonts w:ascii="Times New Roman" w:eastAsia="方正小标宋_GBK" w:hAnsi="Times New Roman" w:cs="方正小标宋_GBK"/>
          <w:sz w:val="44"/>
          <w:szCs w:val="44"/>
        </w:rPr>
      </w:pPr>
    </w:p>
    <w:p w:rsidR="00A64262" w:rsidRPr="00DF6D77" w:rsidRDefault="00A64262" w:rsidP="00A64262">
      <w:pPr>
        <w:spacing w:line="600" w:lineRule="exact"/>
        <w:jc w:val="center"/>
        <w:rPr>
          <w:rFonts w:ascii="Times New Roman" w:eastAsia="方正仿宋_GBK" w:hAnsi="Times New Roman" w:cs="方正仿宋_GBK"/>
          <w:color w:val="212121"/>
          <w:kern w:val="0"/>
          <w:sz w:val="32"/>
          <w:szCs w:val="32"/>
        </w:rPr>
      </w:pPr>
      <w:r w:rsidRPr="00DF6D77">
        <w:rPr>
          <w:rFonts w:ascii="Times New Roman" w:eastAsia="方正小标宋_GBK" w:hAnsi="Times New Roman" w:cs="方正小标宋_GBK" w:hint="eastAsia"/>
          <w:sz w:val="44"/>
          <w:szCs w:val="44"/>
        </w:rPr>
        <w:t>学分银行建设研究课题申报指南</w:t>
      </w:r>
    </w:p>
    <w:p w:rsidR="00A64262" w:rsidRPr="00DF6D77" w:rsidRDefault="00A64262" w:rsidP="00A64262">
      <w:pPr>
        <w:spacing w:line="600" w:lineRule="exact"/>
        <w:ind w:firstLineChars="200" w:firstLine="640"/>
        <w:rPr>
          <w:rFonts w:ascii="Times New Roman" w:eastAsia="方正仿宋_GBK" w:hAnsi="Times New Roman" w:cs="方正仿宋_GBK"/>
          <w:color w:val="212121"/>
          <w:kern w:val="0"/>
          <w:sz w:val="32"/>
          <w:szCs w:val="32"/>
        </w:rPr>
      </w:pPr>
    </w:p>
    <w:p w:rsidR="00A64262" w:rsidRPr="00DF6D77" w:rsidRDefault="00A64262" w:rsidP="00A64262">
      <w:pPr>
        <w:spacing w:line="600" w:lineRule="exact"/>
        <w:ind w:firstLineChars="200" w:firstLine="640"/>
        <w:rPr>
          <w:rFonts w:ascii="Times New Roman" w:eastAsia="方正仿宋_GBK" w:hAnsi="Times New Roman" w:cs="方正仿宋_GBK"/>
          <w:color w:val="0000FF"/>
          <w:sz w:val="32"/>
          <w:szCs w:val="32"/>
        </w:rPr>
      </w:pPr>
      <w:r w:rsidRPr="00DF6D77">
        <w:rPr>
          <w:rFonts w:ascii="Times New Roman" w:eastAsia="方正仿宋_GBK" w:hAnsi="Times New Roman" w:cs="方正仿宋_GBK" w:hint="eastAsia"/>
          <w:color w:val="212121"/>
          <w:kern w:val="0"/>
          <w:sz w:val="32"/>
          <w:szCs w:val="32"/>
        </w:rPr>
        <w:t>2</w:t>
      </w:r>
      <w:r w:rsidRPr="00DF6D77">
        <w:rPr>
          <w:rFonts w:ascii="Times New Roman" w:eastAsia="方正仿宋_GBK" w:hAnsi="Times New Roman" w:cs="方正仿宋_GBK"/>
          <w:color w:val="212121"/>
          <w:kern w:val="0"/>
          <w:sz w:val="32"/>
          <w:szCs w:val="32"/>
        </w:rPr>
        <w:t>021</w:t>
      </w:r>
      <w:r w:rsidRPr="00DF6D77">
        <w:rPr>
          <w:rFonts w:ascii="Times New Roman" w:eastAsia="方正仿宋_GBK" w:hAnsi="Times New Roman" w:cs="方正仿宋_GBK" w:hint="eastAsia"/>
          <w:color w:val="212121"/>
          <w:kern w:val="0"/>
          <w:sz w:val="32"/>
          <w:szCs w:val="32"/>
        </w:rPr>
        <w:t>年度学分银行建设研究课题主要在西部地区资历框架和学分互认共同体开展，西部地区资历框架和学分互认共同体发起单位的学分银行工作人员优先申报。</w:t>
      </w:r>
    </w:p>
    <w:p w:rsidR="00A64262" w:rsidRPr="00DF6D77" w:rsidRDefault="00A64262" w:rsidP="00A64262">
      <w:pPr>
        <w:spacing w:line="600" w:lineRule="exact"/>
        <w:ind w:firstLineChars="200" w:firstLine="640"/>
        <w:rPr>
          <w:rFonts w:ascii="Times New Roman" w:eastAsia="方正仿宋_GBK" w:hAnsi="Times New Roman" w:cs="方正仿宋_GBK"/>
          <w:color w:val="212121"/>
          <w:kern w:val="0"/>
          <w:sz w:val="32"/>
          <w:szCs w:val="32"/>
        </w:rPr>
      </w:pPr>
      <w:r w:rsidRPr="00DF6D77">
        <w:rPr>
          <w:rFonts w:ascii="Times New Roman" w:eastAsia="方正仿宋_GBK" w:hAnsi="Times New Roman" w:cs="方正仿宋_GBK" w:hint="eastAsia"/>
          <w:color w:val="212121"/>
          <w:kern w:val="0"/>
          <w:sz w:val="32"/>
          <w:szCs w:val="32"/>
        </w:rPr>
        <w:t>为促进西部地区资历框架和学分互认共同体可持续发展，重庆市终身学习学分银行提供首轮项目经费支持，共同体发起单位申报者可结合研究专长和基础参考以下研究选题进行项目申报。</w:t>
      </w:r>
    </w:p>
    <w:p w:rsidR="00A64262" w:rsidRPr="00DF6D77" w:rsidRDefault="00A64262" w:rsidP="00A64262">
      <w:pPr>
        <w:spacing w:line="600" w:lineRule="exact"/>
        <w:ind w:firstLineChars="200" w:firstLine="640"/>
        <w:rPr>
          <w:rFonts w:ascii="Times New Roman" w:eastAsia="方正仿宋_GBK" w:hAnsi="Times New Roman" w:cs="方正仿宋_GBK"/>
          <w:color w:val="212121"/>
          <w:kern w:val="0"/>
          <w:sz w:val="32"/>
          <w:szCs w:val="32"/>
        </w:rPr>
      </w:pPr>
      <w:r w:rsidRPr="00DF6D77">
        <w:rPr>
          <w:rFonts w:ascii="Times New Roman" w:eastAsia="方正仿宋_GBK" w:hAnsi="Times New Roman" w:cs="方正仿宋_GBK" w:hint="eastAsia"/>
          <w:color w:val="212121"/>
          <w:kern w:val="0"/>
          <w:sz w:val="32"/>
          <w:szCs w:val="32"/>
        </w:rPr>
        <w:t>1.</w:t>
      </w:r>
      <w:r w:rsidRPr="00DF6D77">
        <w:rPr>
          <w:rFonts w:ascii="Times New Roman" w:eastAsia="方正仿宋_GBK" w:hAnsi="Times New Roman" w:cs="方正仿宋_GBK" w:hint="eastAsia"/>
          <w:color w:val="212121"/>
          <w:kern w:val="0"/>
          <w:sz w:val="32"/>
          <w:szCs w:val="32"/>
        </w:rPr>
        <w:t>西部地区学分银行协同合作机制研究</w:t>
      </w:r>
    </w:p>
    <w:p w:rsidR="00A64262" w:rsidRPr="00DF6D77" w:rsidRDefault="00A64262" w:rsidP="00A64262">
      <w:pPr>
        <w:spacing w:line="600" w:lineRule="exact"/>
        <w:ind w:firstLineChars="200" w:firstLine="640"/>
        <w:rPr>
          <w:rFonts w:ascii="Times New Roman" w:eastAsia="方正仿宋_GBK" w:hAnsi="Times New Roman" w:cs="方正仿宋_GBK"/>
          <w:color w:val="212121"/>
          <w:kern w:val="0"/>
          <w:sz w:val="32"/>
          <w:szCs w:val="32"/>
        </w:rPr>
      </w:pPr>
      <w:r w:rsidRPr="00DF6D77">
        <w:rPr>
          <w:rFonts w:ascii="Times New Roman" w:eastAsia="方正仿宋_GBK" w:hAnsi="Times New Roman" w:cs="方正仿宋_GBK" w:hint="eastAsia"/>
          <w:color w:val="212121"/>
          <w:kern w:val="0"/>
          <w:sz w:val="32"/>
          <w:szCs w:val="32"/>
        </w:rPr>
        <w:t>2.</w:t>
      </w:r>
      <w:r w:rsidRPr="00DF6D77">
        <w:rPr>
          <w:rFonts w:ascii="Times New Roman" w:eastAsia="方正仿宋_GBK" w:hAnsi="Times New Roman" w:cs="方正仿宋_GBK" w:hint="eastAsia"/>
          <w:color w:val="212121"/>
          <w:kern w:val="0"/>
          <w:sz w:val="32"/>
          <w:szCs w:val="32"/>
        </w:rPr>
        <w:t>基于资历框架的学分互认创新实践</w:t>
      </w:r>
    </w:p>
    <w:p w:rsidR="00A64262" w:rsidRPr="00DF6D77" w:rsidRDefault="00A64262" w:rsidP="00A64262">
      <w:pPr>
        <w:spacing w:line="600" w:lineRule="exact"/>
        <w:ind w:firstLineChars="200" w:firstLine="640"/>
        <w:rPr>
          <w:rFonts w:ascii="Times New Roman" w:eastAsia="方正仿宋_GBK" w:hAnsi="Times New Roman" w:cs="方正仿宋_GBK"/>
          <w:color w:val="212121"/>
          <w:kern w:val="0"/>
          <w:sz w:val="32"/>
          <w:szCs w:val="32"/>
        </w:rPr>
      </w:pPr>
      <w:r w:rsidRPr="00DF6D77">
        <w:rPr>
          <w:rFonts w:ascii="Times New Roman" w:eastAsia="方正仿宋_GBK" w:hAnsi="Times New Roman" w:cs="方正仿宋_GBK" w:hint="eastAsia"/>
          <w:color w:val="212121"/>
          <w:kern w:val="0"/>
          <w:sz w:val="32"/>
          <w:szCs w:val="32"/>
        </w:rPr>
        <w:t>3.</w:t>
      </w:r>
      <w:r w:rsidRPr="00DF6D77">
        <w:rPr>
          <w:rFonts w:ascii="Times New Roman" w:eastAsia="方正仿宋_GBK" w:hAnsi="Times New Roman" w:cs="方正仿宋_GBK" w:hint="eastAsia"/>
          <w:color w:val="212121"/>
          <w:kern w:val="0"/>
          <w:sz w:val="32"/>
          <w:szCs w:val="32"/>
        </w:rPr>
        <w:t>基于资历框架的行业能力标准研究</w:t>
      </w:r>
    </w:p>
    <w:p w:rsidR="00A64262" w:rsidRPr="00DF6D77" w:rsidRDefault="00A64262" w:rsidP="00A64262">
      <w:pPr>
        <w:spacing w:line="600" w:lineRule="exact"/>
        <w:ind w:firstLineChars="200" w:firstLine="640"/>
        <w:rPr>
          <w:rFonts w:ascii="Times New Roman" w:eastAsia="方正仿宋_GBK" w:hAnsi="Times New Roman" w:cs="方正仿宋_GBK"/>
          <w:color w:val="212121"/>
          <w:kern w:val="0"/>
          <w:sz w:val="32"/>
          <w:szCs w:val="32"/>
        </w:rPr>
      </w:pPr>
      <w:r w:rsidRPr="00DF6D77">
        <w:rPr>
          <w:rFonts w:ascii="Times New Roman" w:eastAsia="方正仿宋_GBK" w:hAnsi="Times New Roman" w:cs="方正仿宋_GBK" w:hint="eastAsia"/>
          <w:color w:val="212121"/>
          <w:kern w:val="0"/>
          <w:sz w:val="32"/>
          <w:szCs w:val="32"/>
        </w:rPr>
        <w:t>4.</w:t>
      </w:r>
      <w:r w:rsidRPr="00DF6D77">
        <w:rPr>
          <w:rFonts w:ascii="Times New Roman" w:eastAsia="方正仿宋_GBK" w:hAnsi="Times New Roman" w:cs="方正仿宋_GBK" w:hint="eastAsia"/>
          <w:color w:val="212121"/>
          <w:kern w:val="0"/>
          <w:sz w:val="32"/>
          <w:szCs w:val="32"/>
        </w:rPr>
        <w:t>终身学习资源共享共建的实践研究</w:t>
      </w:r>
    </w:p>
    <w:p w:rsidR="00A64262" w:rsidRPr="00DF6D77" w:rsidRDefault="00A64262" w:rsidP="00A64262">
      <w:pPr>
        <w:spacing w:line="600" w:lineRule="exact"/>
        <w:ind w:firstLineChars="200" w:firstLine="640"/>
        <w:rPr>
          <w:rFonts w:ascii="Times New Roman" w:eastAsia="方正仿宋_GBK" w:hAnsi="Times New Roman" w:cs="方正仿宋_GBK"/>
          <w:color w:val="212121"/>
          <w:kern w:val="0"/>
          <w:sz w:val="32"/>
          <w:szCs w:val="32"/>
        </w:rPr>
      </w:pPr>
      <w:r w:rsidRPr="00DF6D77">
        <w:rPr>
          <w:rFonts w:ascii="Times New Roman" w:eastAsia="方正仿宋_GBK" w:hAnsi="Times New Roman" w:cs="方正仿宋_GBK" w:hint="eastAsia"/>
          <w:color w:val="212121"/>
          <w:kern w:val="0"/>
          <w:sz w:val="32"/>
          <w:szCs w:val="32"/>
        </w:rPr>
        <w:t>5.</w:t>
      </w:r>
      <w:r w:rsidRPr="00DF6D77">
        <w:rPr>
          <w:rFonts w:ascii="Times New Roman" w:eastAsia="方正仿宋_GBK" w:hAnsi="Times New Roman" w:cs="方正仿宋_GBK" w:hint="eastAsia"/>
          <w:color w:val="212121"/>
          <w:kern w:val="0"/>
          <w:sz w:val="32"/>
          <w:szCs w:val="32"/>
        </w:rPr>
        <w:t>社区老年大学办学成效的评价研究</w:t>
      </w:r>
    </w:p>
    <w:p w:rsidR="00A64262" w:rsidRPr="00DF6D77" w:rsidRDefault="00A64262" w:rsidP="00A64262">
      <w:pPr>
        <w:spacing w:line="600" w:lineRule="exact"/>
        <w:rPr>
          <w:rFonts w:ascii="Times New Roman" w:eastAsia="方正仿宋_GBK" w:hAnsi="Times New Roman" w:cs="方正仿宋_GBK"/>
          <w:sz w:val="32"/>
          <w:szCs w:val="32"/>
        </w:rPr>
      </w:pPr>
    </w:p>
    <w:p w:rsidR="00A64262" w:rsidRPr="00DF6D77" w:rsidRDefault="00A64262" w:rsidP="00A64262">
      <w:pPr>
        <w:spacing w:line="600" w:lineRule="exact"/>
        <w:rPr>
          <w:rFonts w:ascii="Times New Roman" w:eastAsia="方正仿宋_GBK" w:hAnsi="Times New Roman" w:cs="方正仿宋_GBK"/>
          <w:sz w:val="32"/>
          <w:szCs w:val="32"/>
        </w:rPr>
      </w:pPr>
    </w:p>
    <w:p w:rsidR="00A64262" w:rsidRPr="00DF6D77" w:rsidRDefault="00A64262" w:rsidP="00A64262">
      <w:pPr>
        <w:spacing w:line="600" w:lineRule="exact"/>
        <w:rPr>
          <w:rFonts w:ascii="Times New Roman" w:eastAsia="方正仿宋_GBK" w:hAnsi="Times New Roman" w:cs="方正仿宋_GBK"/>
          <w:sz w:val="32"/>
          <w:szCs w:val="32"/>
        </w:rPr>
      </w:pPr>
    </w:p>
    <w:p w:rsidR="00A64262" w:rsidRPr="00DF6D77" w:rsidRDefault="00A64262" w:rsidP="00A64262">
      <w:pPr>
        <w:spacing w:line="600" w:lineRule="exact"/>
        <w:rPr>
          <w:rFonts w:ascii="Times New Roman" w:eastAsia="方正仿宋_GBK" w:hAnsi="Times New Roman" w:cs="方正仿宋_GBK"/>
          <w:sz w:val="32"/>
          <w:szCs w:val="32"/>
        </w:rPr>
      </w:pPr>
    </w:p>
    <w:p w:rsidR="00A64262" w:rsidRPr="00DF6D77" w:rsidRDefault="00A64262" w:rsidP="00A64262">
      <w:pPr>
        <w:spacing w:line="600" w:lineRule="exact"/>
        <w:rPr>
          <w:rFonts w:ascii="Times New Roman" w:eastAsia="方正仿宋_GBK" w:hAnsi="Times New Roman" w:cs="方正仿宋_GBK"/>
          <w:sz w:val="32"/>
          <w:szCs w:val="32"/>
        </w:rPr>
      </w:pPr>
    </w:p>
    <w:p w:rsidR="00A64262" w:rsidRPr="00DF6D77" w:rsidRDefault="00A64262" w:rsidP="00A64262">
      <w:pPr>
        <w:spacing w:line="600" w:lineRule="exact"/>
        <w:rPr>
          <w:rFonts w:ascii="Times New Roman" w:eastAsia="方正仿宋_GBK" w:hAnsi="Times New Roman" w:cs="方正仿宋_GBK"/>
          <w:sz w:val="32"/>
          <w:szCs w:val="32"/>
        </w:rPr>
      </w:pPr>
    </w:p>
    <w:p w:rsidR="007D6546" w:rsidRPr="00A64262" w:rsidRDefault="00554554">
      <w:pPr>
        <w:rPr>
          <w:rFonts w:hint="eastAsia"/>
        </w:rPr>
      </w:pPr>
      <w:bookmarkStart w:id="0" w:name="_GoBack"/>
      <w:bookmarkEnd w:id="0"/>
    </w:p>
    <w:sectPr w:rsidR="007D6546" w:rsidRPr="00A642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554" w:rsidRDefault="00554554" w:rsidP="00A64262">
      <w:r>
        <w:separator/>
      </w:r>
    </w:p>
  </w:endnote>
  <w:endnote w:type="continuationSeparator" w:id="0">
    <w:p w:rsidR="00554554" w:rsidRDefault="00554554" w:rsidP="00A6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Microsoft YaHei UI"/>
    <w:charset w:val="86"/>
    <w:family w:val="script"/>
    <w:pitch w:val="default"/>
    <w:sig w:usb0="00000001" w:usb1="080E0000" w:usb2="00000000" w:usb3="00000000" w:csb0="00040000" w:csb1="00000000"/>
  </w:font>
  <w:font w:name="方正仿宋_GBK">
    <w:altName w:val="Microsoft YaHei UI"/>
    <w:charset w:val="86"/>
    <w:family w:val="script"/>
    <w:pitch w:val="fixed"/>
    <w:sig w:usb0="00000000"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554" w:rsidRDefault="00554554" w:rsidP="00A64262">
      <w:r>
        <w:separator/>
      </w:r>
    </w:p>
  </w:footnote>
  <w:footnote w:type="continuationSeparator" w:id="0">
    <w:p w:rsidR="00554554" w:rsidRDefault="00554554" w:rsidP="00A64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2B8"/>
    <w:rsid w:val="00554554"/>
    <w:rsid w:val="00707E07"/>
    <w:rsid w:val="009452B8"/>
    <w:rsid w:val="00A64262"/>
    <w:rsid w:val="00CC0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C6CC7"/>
  <w15:chartTrackingRefBased/>
  <w15:docId w15:val="{91822C3D-B47F-4B86-AACA-FCDCE778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26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2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64262"/>
    <w:rPr>
      <w:sz w:val="18"/>
      <w:szCs w:val="18"/>
    </w:rPr>
  </w:style>
  <w:style w:type="paragraph" w:styleId="a5">
    <w:name w:val="footer"/>
    <w:basedOn w:val="a"/>
    <w:link w:val="a6"/>
    <w:uiPriority w:val="99"/>
    <w:unhideWhenUsed/>
    <w:rsid w:val="00A642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642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2021-11-12T08:04:00Z</dcterms:created>
  <dcterms:modified xsi:type="dcterms:W3CDTF">2021-11-12T08:04:00Z</dcterms:modified>
</cp:coreProperties>
</file>